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B30C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20" w:afterAutospacing="0" w:line="516" w:lineRule="atLeast"/>
        <w:ind w:left="0" w:right="0" w:firstLine="420"/>
        <w:jc w:val="center"/>
        <w:rPr>
          <w:rFonts w:ascii="微软雅黑" w:hAnsi="微软雅黑" w:eastAsia="微软雅黑" w:cs="微软雅黑"/>
          <w:i w:val="0"/>
          <w:iCs w:val="0"/>
          <w:caps w:val="0"/>
          <w:color w:val="666666"/>
          <w:spacing w:val="0"/>
          <w:sz w:val="16"/>
          <w:szCs w:val="16"/>
        </w:rPr>
      </w:pPr>
      <w:bookmarkStart w:id="0" w:name="_GoBack"/>
      <w:r>
        <w:rPr>
          <w:rFonts w:hint="eastAsia" w:ascii="微软雅黑" w:hAnsi="微软雅黑" w:eastAsia="微软雅黑" w:cs="微软雅黑"/>
          <w:i w:val="0"/>
          <w:iCs w:val="0"/>
          <w:caps w:val="0"/>
          <w:color w:val="666666"/>
          <w:spacing w:val="0"/>
          <w:sz w:val="16"/>
          <w:szCs w:val="16"/>
          <w:bdr w:val="none" w:color="auto" w:sz="0" w:space="0"/>
          <w:shd w:val="clear" w:fill="FFFFFF"/>
        </w:rPr>
        <w:t>关于加强财税支持政策落实</w:t>
      </w:r>
    </w:p>
    <w:p w14:paraId="5AFF41F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20" w:afterAutospacing="0" w:line="516" w:lineRule="atLeast"/>
        <w:ind w:left="0" w:right="0" w:firstLine="420"/>
        <w:jc w:val="center"/>
        <w:rPr>
          <w:rFonts w:hint="eastAsia" w:ascii="微软雅黑" w:hAnsi="微软雅黑" w:eastAsia="微软雅黑" w:cs="微软雅黑"/>
          <w:i w:val="0"/>
          <w:iCs w:val="0"/>
          <w:caps w:val="0"/>
          <w:color w:val="666666"/>
          <w:spacing w:val="0"/>
          <w:sz w:val="16"/>
          <w:szCs w:val="16"/>
        </w:rPr>
      </w:pPr>
      <w:r>
        <w:rPr>
          <w:rFonts w:hint="eastAsia" w:ascii="微软雅黑" w:hAnsi="微软雅黑" w:eastAsia="微软雅黑" w:cs="微软雅黑"/>
          <w:i w:val="0"/>
          <w:iCs w:val="0"/>
          <w:caps w:val="0"/>
          <w:color w:val="666666"/>
          <w:spacing w:val="0"/>
          <w:sz w:val="16"/>
          <w:szCs w:val="16"/>
          <w:bdr w:val="none" w:color="auto" w:sz="0" w:space="0"/>
          <w:shd w:val="clear" w:fill="FFFFFF"/>
        </w:rPr>
        <w:t>促进中小企业高质量发展的通知</w:t>
      </w:r>
    </w:p>
    <w:bookmarkEnd w:id="0"/>
    <w:p w14:paraId="0B4AED9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20" w:afterAutospacing="0" w:line="300" w:lineRule="atLeast"/>
        <w:ind w:left="0" w:right="0" w:firstLine="420"/>
        <w:jc w:val="center"/>
        <w:rPr>
          <w:rFonts w:hint="eastAsia" w:ascii="微软雅黑" w:hAnsi="微软雅黑" w:eastAsia="微软雅黑" w:cs="微软雅黑"/>
          <w:i w:val="0"/>
          <w:iCs w:val="0"/>
          <w:caps w:val="0"/>
          <w:color w:val="666666"/>
          <w:spacing w:val="0"/>
          <w:sz w:val="16"/>
          <w:szCs w:val="16"/>
        </w:rPr>
      </w:pPr>
      <w:r>
        <w:rPr>
          <w:rFonts w:ascii="仿宋" w:hAnsi="仿宋" w:eastAsia="仿宋" w:cs="仿宋"/>
          <w:i w:val="0"/>
          <w:iCs w:val="0"/>
          <w:caps w:val="0"/>
          <w:color w:val="666666"/>
          <w:spacing w:val="0"/>
          <w:sz w:val="25"/>
          <w:szCs w:val="25"/>
          <w:bdr w:val="none" w:color="auto" w:sz="0" w:space="0"/>
          <w:shd w:val="clear" w:fill="FFFFFF"/>
        </w:rPr>
        <w:t>财预【</w:t>
      </w:r>
      <w:r>
        <w:rPr>
          <w:rFonts w:hint="eastAsia" w:ascii="仿宋" w:hAnsi="仿宋" w:eastAsia="仿宋" w:cs="仿宋"/>
          <w:i w:val="0"/>
          <w:iCs w:val="0"/>
          <w:caps w:val="0"/>
          <w:color w:val="666666"/>
          <w:spacing w:val="0"/>
          <w:sz w:val="25"/>
          <w:szCs w:val="25"/>
          <w:bdr w:val="none" w:color="auto" w:sz="0" w:space="0"/>
          <w:shd w:val="clear" w:fill="FFFFFF"/>
        </w:rPr>
        <w:t>2023】76号</w:t>
      </w:r>
    </w:p>
    <w:p w14:paraId="0856303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666666"/>
          <w:spacing w:val="0"/>
          <w:sz w:val="16"/>
          <w:szCs w:val="16"/>
          <w:bdr w:val="none" w:color="auto" w:sz="0" w:space="0"/>
          <w:shd w:val="clear" w:fill="FFFFFF"/>
        </w:rPr>
        <w:t>中小企业是国民经济发展的重要有生力量，是现代化经济体系中不可或缺的组成部分。一段时期以来，根据党中央、国务院的决策部署，出台了一系列支持中小企业的财税政策。今年以来，国际经济形势错综复杂，国内经济恢复基础仍不稳固。各地区要加大工作力度，不折不扣落实支持中小企业发展的各项财税政策，为推动中小企业高质量发展提供有力保障。现就有关事项通知如下：</w:t>
      </w:r>
    </w:p>
    <w:p w14:paraId="5CD1A7F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16"/>
          <w:szCs w:val="16"/>
          <w:bdr w:val="none" w:color="auto" w:sz="0" w:space="0"/>
          <w:shd w:val="clear" w:fill="FFFFFF"/>
        </w:rPr>
        <w:t>一、落实落细减税降费政策，减轻小微企业税费负担</w:t>
      </w:r>
    </w:p>
    <w:p w14:paraId="56CA384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一)及时足额兑现减税降费政策。在认真落实普惠性减税降费政策的基础上，全面落实对小微企业的精准税费优惠政策，不得以任何理由削弱政策力度，确保把该减的税费减到位，持续发挥各项税费优惠的政策效能，为小微企业发展添活力、增动能。</w:t>
      </w:r>
    </w:p>
    <w:p w14:paraId="0CF5D97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二)坚决防止征收过头税费。各地区要依法依规组织财政收入，及时公布政府性基金和行政事业性收费目录，主动接受社会监督，在目录以外不得擅自增加收费项目、扩大征收范围、提高征收标准。要加强涉企收费管理，规范行业协会和中介机构收费项目，严禁乱收费、乱罚款、乱摊派。密切关注财政收入征收工作开展情况，对违法违规行为保持“零容忍”，严肃查处违法违规行为，坚决做到发现一起、处理一起，问责一起。</w:t>
      </w:r>
    </w:p>
    <w:p w14:paraId="1B0181F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16"/>
          <w:szCs w:val="16"/>
          <w:bdr w:val="none" w:color="auto" w:sz="0" w:space="0"/>
          <w:shd w:val="clear" w:fill="FFFFFF"/>
        </w:rPr>
        <w:t>二、强化财政金融政策协同，保障中小企业融资需求</w:t>
      </w:r>
    </w:p>
    <w:p w14:paraId="00279BB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一)落实创业担保贷款贴息政策。对符合条件的小微企业和城镇登记失业人员、就业困难人员、返乡创业农民工等重点就业群体申请的贷款，由创业担保贷款担保基金提供担保，财政部门给予贷款实际利率一定比例的财政贴息。各地区可结合实际扩大创业担保贷款贴息支持范围，提高贷款额度上限、贷款利率上限。</w:t>
      </w:r>
    </w:p>
    <w:p w14:paraId="6B91AEE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二)发挥政府性融资担保机构作用。发挥国家融资担保基金体系引领作用，稳定再担保业务规模，引导各级政府性融资担保机构加大对小微企业等经营主体的融资增信支持。推动政府性融资担保体系建设，优化银担“总对总”批量担保合作模式。推进融资担保业务数据标准化、规范化，强化银担、银企信息共享，引领体系内机构向数字化、智能化转型，提升财政金融服务小微企业质效。</w:t>
      </w:r>
    </w:p>
    <w:p w14:paraId="6150034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三)支持地方打造普惠金融发展示范区。中央财政实施普惠金融发展示范区奖补政策，引导地方支持小微企业发展。示范区可将中央财政奖补资金统筹用于支小支农贷款贴息、风险补偿等方面，引导金融机构加大对小微企业的支持力度，发挥财政资金杠杆效应，促进普惠金融服务增量扩面、降本增效。</w:t>
      </w:r>
    </w:p>
    <w:p w14:paraId="472793D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16"/>
          <w:szCs w:val="16"/>
          <w:bdr w:val="none" w:color="auto" w:sz="0" w:space="0"/>
          <w:shd w:val="clear" w:fill="FFFFFF"/>
        </w:rPr>
        <w:t>三、发挥财政资金引导作用，支持中小企业创新发展</w:t>
      </w:r>
    </w:p>
    <w:p w14:paraId="05AB123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一)支持中小企业专精特新发展。中央财政继续通过中小企业发展专项资金支持国家级专精特新“小巨人”企业发展，并已经下达有关预算。各地财政部门要抓紧向纳入支持范围的国家级专精特新“小巨人”企业拨付资金，引导企业加大创新投入、加强产业链上下游协作配套、促进数字化网络化智能化改造等。</w:t>
      </w:r>
    </w:p>
    <w:p w14:paraId="7D18C4F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二)推动中小企业数字化转型。中央财政将选择部分城市开展中小企业数字化转型城市试点工作，并给予定额奖补。有关地方财政部门要统筹利用中央奖补资金，选取重点行业和相关中小企业，遴选数字化服务商开发集成“小快轻准”的数字化服务和产品，供企业自愿选择，解决中小企业“不敢转”、“不愿转”、“不会转”的问题，推动中小企业加快数字化转型，促进数字经济和实体经济深度融合。</w:t>
      </w:r>
    </w:p>
    <w:p w14:paraId="60514DF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三)发挥政府投资基金引导作用。国家中小企业发展基金将继续支持种子期、初创期成长型中小企业发展。地方设立的相关政府投资基金，应在规定的投资范围内，按照市场化原则，对符合条件的中小企业项目加大投资支持力度，助力中小企业发展壮大。</w:t>
      </w:r>
    </w:p>
    <w:p w14:paraId="5D96AD6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16"/>
          <w:szCs w:val="16"/>
          <w:bdr w:val="none" w:color="auto" w:sz="0" w:space="0"/>
          <w:shd w:val="clear" w:fill="FFFFFF"/>
        </w:rPr>
        <w:t>四、落实政府采购、稳岗就业等扶持政策，助力中小企业加快发展</w:t>
      </w:r>
    </w:p>
    <w:p w14:paraId="6534C6A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一)强化中小企业政府采购支持政策。严格落实预留份额、价格评审优惠政策措施，进一步扩大中小企业采购份额。超过400万元的工程采购项目中适宜由中小企业提供的，预留份额由30%以上阶段性提高至40%以上的政策延续至2025年底。通过积极推进政府采购电子化，支持中小企业开展采购合同融资，加大信用担保运用，为中小企业参与政府采购活动提供便利。</w:t>
      </w:r>
    </w:p>
    <w:p w14:paraId="25CFB2C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二)支持中小企业稳岗扩岗。落实一次性吸纳就业补贴政策，中小微企业招用符合条件的毕业年度或离校2年内未就业高校毕业生、登记失业青年，签订1年以上劳动合同的，可按规定申请一次性吸纳就业补贴。落实失业保险稳岗返还政策，符合条件的中小微企业可按不超过企业及其职工上年度实际缴纳失业保险费的60%申请失业保险稳岗返还。对招用毕业年度和离校2年内未就业高校毕业生的小微企业，按规定落实社会保险补贴政策。</w:t>
      </w:r>
    </w:p>
    <w:p w14:paraId="7F8BEAD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三)保障中小企业账款及时支付。要按照项目进度和预算安排拨付项目建设资金，保障项目单位及时支付中小企业账款。落实建设工程价款结算办法，将政府机关、事业单位、国有企业建设工程进度款最低支付比例由60%提高至80%，鼓励有条件的项目推行施工过程结算。健全防范新增拖欠账款的长效机制，严格政府投资项目管理，严防歧义合同、“开口合同”，将政府拖欠中小企业账款纳入日常监管，形成有力约束。</w:t>
      </w:r>
    </w:p>
    <w:p w14:paraId="0F130F5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16"/>
          <w:szCs w:val="16"/>
          <w:bdr w:val="none" w:color="auto" w:sz="0" w:space="0"/>
          <w:shd w:val="clear" w:fill="FFFFFF"/>
        </w:rPr>
        <w:t>五、健全工作机制和管理制度，提高财税政策效能</w:t>
      </w:r>
    </w:p>
    <w:p w14:paraId="3B47BAA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一)营造公平公正的发展环境。在分配财政资金的过程中，对各类企业要一视同仁、平等对待。依法保障中小企业平等参与政府采购活动，进一步提升政府采购透明度，督促有关单位依法及时公开各类政府采购信息，方便中小企业获得政府采购信息。对于妨碍公平竞争的规定，要及时清理整顿。</w:t>
      </w:r>
    </w:p>
    <w:p w14:paraId="3B627F2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微软雅黑" w:hAnsi="微软雅黑" w:eastAsia="微软雅黑" w:cs="微软雅黑"/>
          <w:i w:val="0"/>
          <w:iCs w:val="0"/>
          <w:caps w:val="0"/>
          <w:color w:val="666666"/>
          <w:spacing w:val="0"/>
          <w:sz w:val="16"/>
          <w:szCs w:val="16"/>
        </w:rPr>
      </w:pPr>
      <w:r>
        <w:rPr>
          <w:rFonts w:hint="eastAsia" w:ascii="仿宋" w:hAnsi="仿宋" w:eastAsia="仿宋" w:cs="仿宋"/>
          <w:i w:val="0"/>
          <w:iCs w:val="0"/>
          <w:caps w:val="0"/>
          <w:color w:val="222222"/>
          <w:spacing w:val="0"/>
          <w:sz w:val="25"/>
          <w:szCs w:val="25"/>
          <w:bdr w:val="none" w:color="auto" w:sz="0" w:space="0"/>
          <w:shd w:val="clear" w:fill="FFFFFF"/>
        </w:rPr>
        <w:t>(二)促进支持政策直达快享。各地财政部门要会同相关业务主管部门加大政策宣传辅导力度，帮助中小企业熟悉政策内容、了解申报程序，促进应享尽享。完善业务办理流程，压缩或整合申报环节，精简材料报送要求，不断提高办事效率，积极推进“网上办”、“掌上办”，让数据“多跑路”、企业“少走路”。充分运用财政直达资金监控系统，加强对涉企补助资金的跟踪监控，督促加快资金下达速度，确保财政补贴资金快速精准拨付至受益对象。</w:t>
      </w:r>
    </w:p>
    <w:p w14:paraId="0FD729A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84" w:beforeAutospacing="0" w:after="84" w:afterAutospacing="0" w:line="312" w:lineRule="atLeast"/>
        <w:ind w:left="0" w:right="0" w:firstLine="516"/>
        <w:jc w:val="both"/>
        <w:rPr>
          <w:rFonts w:hint="eastAsia" w:ascii="仿宋" w:hAnsi="仿宋" w:eastAsia="仿宋" w:cs="仿宋"/>
          <w:i w:val="0"/>
          <w:iCs w:val="0"/>
          <w:caps w:val="0"/>
          <w:color w:val="222222"/>
          <w:spacing w:val="0"/>
          <w:sz w:val="25"/>
          <w:szCs w:val="25"/>
          <w:shd w:val="clear" w:fill="FFFFFF"/>
        </w:rPr>
      </w:pPr>
      <w:r>
        <w:rPr>
          <w:rFonts w:hint="eastAsia" w:ascii="仿宋" w:hAnsi="仿宋" w:eastAsia="仿宋" w:cs="仿宋"/>
          <w:i w:val="0"/>
          <w:iCs w:val="0"/>
          <w:caps w:val="0"/>
          <w:color w:val="222222"/>
          <w:spacing w:val="0"/>
          <w:sz w:val="25"/>
          <w:szCs w:val="25"/>
          <w:bdr w:val="none" w:color="auto" w:sz="0" w:space="0"/>
          <w:shd w:val="clear" w:fill="FFFFFF"/>
        </w:rPr>
        <w:t>(三)因地制宜出台进一步支持政策。在保障党中央、国务院部署出台的各项财税政策落实到位的前提下，鼓励有条件的地区结合财力状况，聚焦当地中小企业发展面临的突出问题和薄弱环节，采取精准有效的政策措施，进一步加大财政政策扶持力度，缓解中小企业的经营压力和实际困难，促进中小企业健康高质量发展。</w:t>
      </w:r>
    </w:p>
    <w:p w14:paraId="1B108DB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84" w:beforeAutospacing="0" w:after="84" w:afterAutospacing="0" w:line="312" w:lineRule="atLeast"/>
        <w:ind w:left="0" w:right="0" w:firstLine="516"/>
        <w:jc w:val="right"/>
        <w:rPr>
          <w:rFonts w:hint="eastAsia" w:ascii="仿宋" w:hAnsi="仿宋" w:eastAsia="仿宋" w:cs="仿宋"/>
          <w:i w:val="0"/>
          <w:iCs w:val="0"/>
          <w:caps w:val="0"/>
          <w:color w:val="222222"/>
          <w:spacing w:val="0"/>
          <w:sz w:val="25"/>
          <w:szCs w:val="25"/>
          <w:shd w:val="clear" w:fill="FFFFFF"/>
        </w:rPr>
      </w:pPr>
      <w:r>
        <w:rPr>
          <w:rFonts w:hint="eastAsia" w:ascii="仿宋" w:hAnsi="仿宋" w:eastAsia="仿宋" w:cs="仿宋"/>
          <w:i w:val="0"/>
          <w:iCs w:val="0"/>
          <w:caps w:val="0"/>
          <w:color w:val="222222"/>
          <w:spacing w:val="0"/>
          <w:sz w:val="25"/>
          <w:szCs w:val="25"/>
          <w:shd w:val="clear" w:fill="FFFFFF"/>
        </w:rPr>
        <w:t>                                     财政部</w:t>
      </w:r>
    </w:p>
    <w:p w14:paraId="10B5DC7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84" w:beforeAutospacing="0" w:after="84" w:afterAutospacing="0" w:line="312" w:lineRule="atLeast"/>
        <w:ind w:left="0" w:right="0" w:firstLine="516"/>
        <w:jc w:val="right"/>
        <w:rPr>
          <w:rFonts w:hint="eastAsia" w:ascii="仿宋" w:hAnsi="仿宋" w:eastAsia="仿宋" w:cs="仿宋"/>
          <w:i w:val="0"/>
          <w:iCs w:val="0"/>
          <w:caps w:val="0"/>
          <w:color w:val="222222"/>
          <w:spacing w:val="0"/>
          <w:sz w:val="25"/>
          <w:szCs w:val="25"/>
          <w:shd w:val="clear" w:fill="FFFFFF"/>
        </w:rPr>
      </w:pPr>
      <w:r>
        <w:rPr>
          <w:rFonts w:hint="eastAsia" w:ascii="仿宋" w:hAnsi="仿宋" w:eastAsia="仿宋" w:cs="仿宋"/>
          <w:i w:val="0"/>
          <w:iCs w:val="0"/>
          <w:caps w:val="0"/>
          <w:color w:val="222222"/>
          <w:spacing w:val="0"/>
          <w:sz w:val="25"/>
          <w:szCs w:val="25"/>
          <w:shd w:val="clear" w:fill="FFFFFF"/>
        </w:rPr>
        <w:t>2023年8月20日</w:t>
      </w:r>
    </w:p>
    <w:p w14:paraId="0C262015">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120" w:afterAutospacing="0" w:line="396" w:lineRule="atLeast"/>
        <w:ind w:left="0" w:right="0" w:firstLine="420"/>
        <w:jc w:val="right"/>
        <w:rPr>
          <w:rFonts w:hint="eastAsia" w:ascii="仿宋" w:hAnsi="仿宋" w:eastAsia="仿宋" w:cs="仿宋"/>
          <w:i w:val="0"/>
          <w:iCs w:val="0"/>
          <w:caps w:val="0"/>
          <w:color w:val="393939"/>
          <w:spacing w:val="0"/>
          <w:sz w:val="25"/>
          <w:szCs w:val="25"/>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4OGEzZGM2ZTE0NGM2YzMwMTAxNTI0ODRhYTViZWEifQ=="/>
  </w:docVars>
  <w:rsids>
    <w:rsidRoot w:val="27EE459D"/>
    <w:rsid w:val="031D37A8"/>
    <w:rsid w:val="27EE4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29</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2024-08-28T02:10:00Z</dcterms:created>
  <dc:creator>拉面丸子h</dc:creator>
  <cp:lastModifiedBy>拉面丸子h</cp:lastModifiedBy>
  <dcterms:modified xsi:type="dcterms:W3CDTF">2024-08-28T02:39:43Z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8CB62FB1C2AC4258B7AD8424A42DE49F_13</vt:lpwstr>
  </property>
</Properties>
</file>